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4F" w:rsidRPr="002B7E4F" w:rsidRDefault="002B7E4F" w:rsidP="002B7E4F">
      <w:pPr>
        <w:jc w:val="both"/>
        <w:rPr>
          <w:rFonts w:ascii="Arial" w:hAnsi="Arial" w:cs="Arial"/>
          <w:b/>
          <w:sz w:val="22"/>
          <w:szCs w:val="22"/>
          <w:lang w:val="es-MX"/>
        </w:rPr>
      </w:pPr>
      <w:bookmarkStart w:id="0" w:name="_GoBack"/>
      <w:bookmarkEnd w:id="0"/>
    </w:p>
    <w:p w:rsidR="002B7E4F" w:rsidRPr="002B7E4F" w:rsidRDefault="002B7E4F" w:rsidP="002B7E4F">
      <w:pPr>
        <w:jc w:val="both"/>
        <w:rPr>
          <w:rFonts w:ascii="Arial" w:hAnsi="Arial" w:cs="Arial"/>
          <w:b/>
          <w:sz w:val="22"/>
          <w:szCs w:val="22"/>
          <w:lang w:val="es-MX"/>
        </w:rPr>
      </w:pPr>
      <w:r w:rsidRPr="002B7E4F">
        <w:rPr>
          <w:rFonts w:ascii="Arial" w:hAnsi="Arial" w:cs="Arial"/>
          <w:b/>
          <w:sz w:val="22"/>
          <w:szCs w:val="22"/>
          <w:lang w:val="es-MX"/>
        </w:rPr>
        <w:t>EP</w:t>
      </w:r>
      <w:r w:rsidR="00715976">
        <w:rPr>
          <w:rFonts w:ascii="Arial" w:hAnsi="Arial" w:cs="Arial"/>
          <w:b/>
          <w:sz w:val="22"/>
          <w:szCs w:val="22"/>
          <w:lang w:val="es-MX"/>
        </w:rPr>
        <w:t>.</w:t>
      </w:r>
      <w:r w:rsidRPr="002B7E4F">
        <w:rPr>
          <w:rFonts w:ascii="Arial" w:hAnsi="Arial" w:cs="Arial"/>
          <w:b/>
          <w:sz w:val="22"/>
          <w:szCs w:val="22"/>
          <w:lang w:val="es-MX"/>
        </w:rPr>
        <w:t xml:space="preserve"> 103</w:t>
      </w:r>
      <w:r w:rsidR="00715976">
        <w:rPr>
          <w:rFonts w:ascii="Arial" w:hAnsi="Arial" w:cs="Arial"/>
          <w:b/>
          <w:sz w:val="22"/>
          <w:szCs w:val="22"/>
          <w:lang w:val="es-MX"/>
        </w:rPr>
        <w:t>.-</w:t>
      </w:r>
      <w:r w:rsidRPr="002B7E4F">
        <w:rPr>
          <w:rFonts w:ascii="Arial" w:hAnsi="Arial" w:cs="Arial"/>
          <w:b/>
          <w:sz w:val="22"/>
          <w:szCs w:val="22"/>
          <w:lang w:val="es-MX"/>
        </w:rPr>
        <w:t xml:space="preserve"> INSTALACIONES DE BOMBA DE COMBUSTIÓN INTERNA DE 51 HP</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Bomba centrifuga vertical tipo turbina, modelo  10 FEM de 5 etapas, para servicio contra incendio marca AURORA PUMP o similar, para manejar 250 galones por minuto y una carga dinámico total de 100 PSI construida de acuerdo con las normas de NFPA-20 y aprobado por U.L. F.M. compuesta por:</w:t>
      </w:r>
    </w:p>
    <w:p w:rsidR="002B7E4F" w:rsidRPr="002B7E4F" w:rsidRDefault="002B7E4F" w:rsidP="002B7E4F">
      <w:pPr>
        <w:jc w:val="both"/>
        <w:rPr>
          <w:rFonts w:ascii="Arial" w:hAnsi="Arial" w:cs="Arial"/>
          <w:sz w:val="22"/>
          <w:szCs w:val="22"/>
        </w:rPr>
      </w:pPr>
      <w:r w:rsidRPr="002B7E4F">
        <w:rPr>
          <w:rFonts w:ascii="Arial" w:hAnsi="Arial" w:cs="Arial"/>
          <w:sz w:val="22"/>
          <w:szCs w:val="22"/>
        </w:rPr>
        <w:t>* Cabezal de descarga tamaño SDC 16½ x 6 fabricado en una pieza en fierra fundido ASTM 48.</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 Cabezal en ángulo recto RANDOLPH </w:t>
      </w:r>
      <w:proofErr w:type="spellStart"/>
      <w:r w:rsidRPr="002B7E4F">
        <w:rPr>
          <w:rFonts w:ascii="Arial" w:hAnsi="Arial" w:cs="Arial"/>
          <w:sz w:val="22"/>
          <w:szCs w:val="22"/>
        </w:rPr>
        <w:t>mod</w:t>
      </w:r>
      <w:proofErr w:type="spellEnd"/>
      <w:r w:rsidRPr="002B7E4F">
        <w:rPr>
          <w:rFonts w:ascii="Arial" w:hAnsi="Arial" w:cs="Arial"/>
          <w:sz w:val="22"/>
          <w:szCs w:val="22"/>
        </w:rPr>
        <w:t xml:space="preserve"> G40 </w:t>
      </w:r>
      <w:proofErr w:type="spellStart"/>
      <w:r w:rsidRPr="002B7E4F">
        <w:rPr>
          <w:rFonts w:ascii="Arial" w:hAnsi="Arial" w:cs="Arial"/>
          <w:sz w:val="22"/>
          <w:szCs w:val="22"/>
        </w:rPr>
        <w:t>rel.</w:t>
      </w:r>
      <w:proofErr w:type="spellEnd"/>
      <w:r w:rsidRPr="002B7E4F">
        <w:rPr>
          <w:rFonts w:ascii="Arial" w:hAnsi="Arial" w:cs="Arial"/>
          <w:sz w:val="22"/>
          <w:szCs w:val="22"/>
        </w:rPr>
        <w:t xml:space="preserve"> 6:5.</w:t>
      </w:r>
    </w:p>
    <w:p w:rsidR="002B7E4F" w:rsidRPr="002B7E4F" w:rsidRDefault="002B7E4F" w:rsidP="002B7E4F">
      <w:pPr>
        <w:jc w:val="both"/>
        <w:rPr>
          <w:rFonts w:ascii="Arial" w:hAnsi="Arial" w:cs="Arial"/>
          <w:sz w:val="22"/>
          <w:szCs w:val="22"/>
        </w:rPr>
      </w:pPr>
      <w:r w:rsidRPr="002B7E4F">
        <w:rPr>
          <w:rFonts w:ascii="Arial" w:hAnsi="Arial" w:cs="Arial"/>
          <w:sz w:val="22"/>
          <w:szCs w:val="22"/>
        </w:rPr>
        <w:t>* Columna de descarga de lubricación por agua tamaño 6" x 1" fabricada en placa de acero A53, flecha de transmisión en acero AISI 1045 y manguitos en acero inoxidable tipo 304.</w:t>
      </w:r>
    </w:p>
    <w:p w:rsidR="002B7E4F" w:rsidRPr="002B7E4F" w:rsidRDefault="002B7E4F" w:rsidP="002B7E4F">
      <w:pPr>
        <w:jc w:val="both"/>
        <w:rPr>
          <w:rFonts w:ascii="Arial" w:hAnsi="Arial" w:cs="Arial"/>
          <w:sz w:val="22"/>
          <w:szCs w:val="22"/>
        </w:rPr>
      </w:pPr>
      <w:r w:rsidRPr="002B7E4F">
        <w:rPr>
          <w:rFonts w:ascii="Arial" w:hAnsi="Arial" w:cs="Arial"/>
          <w:sz w:val="22"/>
          <w:szCs w:val="22"/>
        </w:rPr>
        <w:t>* Cuerpo de tazones modelo 10 FEM de 5 etapas, fabricado en fierro fundido A48, e impulsores en bronce B584-AL836.</w:t>
      </w:r>
    </w:p>
    <w:p w:rsidR="002B7E4F" w:rsidRPr="002B7E4F" w:rsidRDefault="002B7E4F" w:rsidP="002B7E4F">
      <w:pPr>
        <w:jc w:val="both"/>
        <w:rPr>
          <w:rFonts w:ascii="Arial" w:hAnsi="Arial" w:cs="Arial"/>
          <w:sz w:val="22"/>
          <w:szCs w:val="22"/>
        </w:rPr>
      </w:pPr>
      <w:r w:rsidRPr="002B7E4F">
        <w:rPr>
          <w:rFonts w:ascii="Arial" w:hAnsi="Arial" w:cs="Arial"/>
          <w:sz w:val="22"/>
          <w:szCs w:val="22"/>
        </w:rPr>
        <w:t>* Colador tipo canasta en latón.</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 Motor de combustión interna a </w:t>
      </w:r>
      <w:proofErr w:type="spellStart"/>
      <w:r w:rsidRPr="002B7E4F">
        <w:rPr>
          <w:rFonts w:ascii="Arial" w:hAnsi="Arial" w:cs="Arial"/>
          <w:sz w:val="22"/>
          <w:szCs w:val="22"/>
        </w:rPr>
        <w:t>diesel</w:t>
      </w:r>
      <w:proofErr w:type="spellEnd"/>
      <w:r w:rsidRPr="002B7E4F">
        <w:rPr>
          <w:rFonts w:ascii="Arial" w:hAnsi="Arial" w:cs="Arial"/>
          <w:sz w:val="22"/>
          <w:szCs w:val="22"/>
        </w:rPr>
        <w:t xml:space="preserve"> marca CLARKE modelo JU4H-UF10 de 51 HP a 2100 RPM </w:t>
      </w:r>
      <w:proofErr w:type="spellStart"/>
      <w:r w:rsidRPr="002B7E4F">
        <w:rPr>
          <w:rFonts w:ascii="Arial" w:hAnsi="Arial" w:cs="Arial"/>
          <w:sz w:val="22"/>
          <w:szCs w:val="22"/>
        </w:rPr>
        <w:t>a.n.m</w:t>
      </w:r>
      <w:proofErr w:type="spellEnd"/>
      <w:r w:rsidRPr="002B7E4F">
        <w:rPr>
          <w:rFonts w:ascii="Arial" w:hAnsi="Arial" w:cs="Arial"/>
          <w:sz w:val="22"/>
          <w:szCs w:val="22"/>
        </w:rPr>
        <w:t xml:space="preserve">., incluye doble banco de baterías, base y juego de cables, intercambiador de calor, tubería de </w:t>
      </w:r>
      <w:proofErr w:type="spellStart"/>
      <w:r w:rsidRPr="002B7E4F">
        <w:rPr>
          <w:rFonts w:ascii="Arial" w:hAnsi="Arial" w:cs="Arial"/>
          <w:sz w:val="22"/>
          <w:szCs w:val="22"/>
        </w:rPr>
        <w:t>by-pass</w:t>
      </w:r>
      <w:proofErr w:type="spellEnd"/>
      <w:r w:rsidRPr="002B7E4F">
        <w:rPr>
          <w:rFonts w:ascii="Arial" w:hAnsi="Arial" w:cs="Arial"/>
          <w:sz w:val="22"/>
          <w:szCs w:val="22"/>
        </w:rPr>
        <w:t>.</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 La bomba cuenta con un panel de control </w:t>
      </w:r>
      <w:proofErr w:type="spellStart"/>
      <w:r w:rsidRPr="002B7E4F">
        <w:rPr>
          <w:rFonts w:ascii="Arial" w:hAnsi="Arial" w:cs="Arial"/>
          <w:sz w:val="22"/>
          <w:szCs w:val="22"/>
        </w:rPr>
        <w:t>autosoportado</w:t>
      </w:r>
      <w:proofErr w:type="spellEnd"/>
      <w:r w:rsidRPr="002B7E4F">
        <w:rPr>
          <w:rFonts w:ascii="Arial" w:hAnsi="Arial" w:cs="Arial"/>
          <w:sz w:val="22"/>
          <w:szCs w:val="22"/>
        </w:rPr>
        <w:t xml:space="preserve"> marca TORNATECH modelo GPD o similar, específicamente etiquetado para servicio Contra Incendio, con doble cargador de  baterías, alarma para falla de arranque, baja presión de aceite, alta temperatura de agua, y paro por sobre velocidad. El tablero de control </w:t>
      </w:r>
      <w:proofErr w:type="spellStart"/>
      <w:r w:rsidRPr="002B7E4F">
        <w:rPr>
          <w:rFonts w:ascii="Arial" w:hAnsi="Arial" w:cs="Arial"/>
          <w:sz w:val="22"/>
          <w:szCs w:val="22"/>
        </w:rPr>
        <w:t>esta</w:t>
      </w:r>
      <w:proofErr w:type="spellEnd"/>
      <w:r w:rsidRPr="002B7E4F">
        <w:rPr>
          <w:rFonts w:ascii="Arial" w:hAnsi="Arial" w:cs="Arial"/>
          <w:sz w:val="22"/>
          <w:szCs w:val="22"/>
        </w:rPr>
        <w:t xml:space="preserve"> provisto de arranque manual y automático, paro manual con transductor de presión de 0 - 300 PSI, estación de botones, gabinete con cerradura NMEA 2.                                                                                                                                                             ACCESORIOS DEL SISTEMA: Válvula de Alivio Principal. Tamaño de la Válvula de Alivio Principal: 3" x 3" Cono Cerrado.  Tamaño del Cono Cerrado: 3" x 5". Medidor de Flujo. Marca: Global </w:t>
      </w:r>
      <w:proofErr w:type="spellStart"/>
      <w:r w:rsidRPr="002B7E4F">
        <w:rPr>
          <w:rFonts w:ascii="Arial" w:hAnsi="Arial" w:cs="Arial"/>
          <w:sz w:val="22"/>
          <w:szCs w:val="22"/>
        </w:rPr>
        <w:t>Vision</w:t>
      </w:r>
      <w:proofErr w:type="spellEnd"/>
      <w:r w:rsidRPr="002B7E4F">
        <w:rPr>
          <w:rFonts w:ascii="Arial" w:hAnsi="Arial" w:cs="Arial"/>
          <w:sz w:val="22"/>
          <w:szCs w:val="22"/>
        </w:rPr>
        <w:t xml:space="preserve">-Venturi  o similar. </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Tipo de Montaje: </w:t>
      </w:r>
      <w:proofErr w:type="spellStart"/>
      <w:r w:rsidRPr="002B7E4F">
        <w:rPr>
          <w:rFonts w:ascii="Arial" w:hAnsi="Arial" w:cs="Arial"/>
          <w:sz w:val="22"/>
          <w:szCs w:val="22"/>
        </w:rPr>
        <w:t>Ranurado</w:t>
      </w:r>
      <w:proofErr w:type="spellEnd"/>
      <w:r w:rsidRPr="002B7E4F">
        <w:rPr>
          <w:rFonts w:ascii="Arial" w:hAnsi="Arial" w:cs="Arial"/>
          <w:sz w:val="22"/>
          <w:szCs w:val="22"/>
        </w:rPr>
        <w:t xml:space="preserve"> </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Tamaño en </w:t>
      </w:r>
      <w:proofErr w:type="spellStart"/>
      <w:r w:rsidRPr="002B7E4F">
        <w:rPr>
          <w:rFonts w:ascii="Arial" w:hAnsi="Arial" w:cs="Arial"/>
          <w:sz w:val="22"/>
          <w:szCs w:val="22"/>
        </w:rPr>
        <w:t>plg</w:t>
      </w:r>
      <w:proofErr w:type="spellEnd"/>
      <w:r w:rsidRPr="002B7E4F">
        <w:rPr>
          <w:rFonts w:ascii="Arial" w:hAnsi="Arial" w:cs="Arial"/>
          <w:sz w:val="22"/>
          <w:szCs w:val="22"/>
        </w:rPr>
        <w:t xml:space="preserve">: 4". </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Flujo GPM: 250.                                                                                                                 </w:t>
      </w:r>
    </w:p>
    <w:p w:rsidR="002B7E4F" w:rsidRPr="002B7E4F" w:rsidRDefault="002B7E4F" w:rsidP="002B7E4F">
      <w:pPr>
        <w:jc w:val="both"/>
        <w:rPr>
          <w:rFonts w:ascii="Arial" w:hAnsi="Arial" w:cs="Arial"/>
          <w:sz w:val="22"/>
          <w:szCs w:val="22"/>
        </w:rPr>
      </w:pPr>
      <w:r w:rsidRPr="002B7E4F">
        <w:rPr>
          <w:rFonts w:ascii="Arial" w:hAnsi="Arial" w:cs="Arial"/>
          <w:sz w:val="22"/>
          <w:szCs w:val="22"/>
        </w:rPr>
        <w:t>Mofle tipo: Comercial.</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Fuel </w:t>
      </w:r>
      <w:proofErr w:type="spellStart"/>
      <w:r w:rsidRPr="002B7E4F">
        <w:rPr>
          <w:rFonts w:ascii="Arial" w:hAnsi="Arial" w:cs="Arial"/>
          <w:sz w:val="22"/>
          <w:szCs w:val="22"/>
        </w:rPr>
        <w:t>Tank</w:t>
      </w:r>
      <w:proofErr w:type="spellEnd"/>
      <w:r w:rsidRPr="002B7E4F">
        <w:rPr>
          <w:rFonts w:ascii="Arial" w:hAnsi="Arial" w:cs="Arial"/>
          <w:sz w:val="22"/>
          <w:szCs w:val="22"/>
        </w:rPr>
        <w:t>: Accesorios de Ventilación: NFPA 20 &amp; UL142. Tanque de Pared Sencilla. Capacidad del Tanque Galones (Total): 119. Capacidad del Tanque Galones (</w:t>
      </w:r>
      <w:proofErr w:type="spellStart"/>
      <w:r w:rsidRPr="002B7E4F">
        <w:rPr>
          <w:rFonts w:ascii="Arial" w:hAnsi="Arial" w:cs="Arial"/>
          <w:sz w:val="22"/>
          <w:szCs w:val="22"/>
        </w:rPr>
        <w:t>Usuable</w:t>
      </w:r>
      <w:proofErr w:type="spellEnd"/>
      <w:r w:rsidRPr="002B7E4F">
        <w:rPr>
          <w:rFonts w:ascii="Arial" w:hAnsi="Arial" w:cs="Arial"/>
          <w:sz w:val="22"/>
          <w:szCs w:val="22"/>
        </w:rPr>
        <w:t>): 105</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32"/>
        </w:numPr>
        <w:rPr>
          <w:rFonts w:ascii="Arial" w:hAnsi="Arial" w:cs="Arial"/>
          <w:b/>
          <w:sz w:val="22"/>
          <w:szCs w:val="22"/>
        </w:rPr>
      </w:pPr>
      <w:bookmarkStart w:id="1" w:name="_Toc368671465"/>
      <w:r w:rsidRPr="002B7E4F">
        <w:rPr>
          <w:rFonts w:ascii="Arial" w:hAnsi="Arial" w:cs="Arial"/>
          <w:b/>
          <w:sz w:val="22"/>
          <w:szCs w:val="22"/>
        </w:rPr>
        <w:t>Características Técnicas</w:t>
      </w:r>
      <w:bookmarkEnd w:id="1"/>
    </w:p>
    <w:p w:rsidR="002B7E4F" w:rsidRPr="002B7E4F" w:rsidRDefault="002B7E4F" w:rsidP="00462F48">
      <w:pPr>
        <w:pStyle w:val="TITULO-4"/>
        <w:numPr>
          <w:ilvl w:val="3"/>
          <w:numId w:val="32"/>
        </w:numPr>
        <w:rPr>
          <w:spacing w:val="-1"/>
          <w:sz w:val="22"/>
          <w:szCs w:val="22"/>
        </w:rPr>
      </w:pPr>
      <w:bookmarkStart w:id="2" w:name="_Toc368671466"/>
      <w:r w:rsidRPr="002B7E4F">
        <w:rPr>
          <w:spacing w:val="-1"/>
          <w:sz w:val="22"/>
          <w:szCs w:val="22"/>
        </w:rPr>
        <w:t>Base de selección.</w:t>
      </w:r>
      <w:bookmarkEnd w:id="2"/>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Las características de los materiales seleccionados se han basado en la siguiente tabla y ha servido de guía para la selección de las mismas. </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noProof/>
          <w:sz w:val="22"/>
          <w:szCs w:val="22"/>
          <w:lang w:val="es-MX" w:eastAsia="es-MX"/>
        </w:rPr>
        <w:lastRenderedPageBreak/>
        <w:drawing>
          <wp:inline distT="0" distB="0" distL="0" distR="0">
            <wp:extent cx="5826760" cy="6687820"/>
            <wp:effectExtent l="19050" t="0" r="2540" b="0"/>
            <wp:docPr id="68" name="Imagen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9" cstate="print"/>
                    <a:srcRect l="1765"/>
                    <a:stretch>
                      <a:fillRect/>
                    </a:stretch>
                  </pic:blipFill>
                  <pic:spPr bwMode="auto">
                    <a:xfrm>
                      <a:off x="0" y="0"/>
                      <a:ext cx="5826760" cy="6687820"/>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r w:rsidRPr="002B7E4F">
        <w:rPr>
          <w:rFonts w:ascii="Arial" w:hAnsi="Arial" w:cs="Arial"/>
          <w:sz w:val="22"/>
          <w:szCs w:val="22"/>
        </w:rPr>
        <w:t>Para el panel de control tenemos: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noProof/>
          <w:sz w:val="22"/>
          <w:szCs w:val="22"/>
          <w:lang w:val="es-MX" w:eastAsia="es-MX"/>
        </w:rPr>
        <w:lastRenderedPageBreak/>
        <w:drawing>
          <wp:inline distT="0" distB="0" distL="0" distR="0">
            <wp:extent cx="5337810" cy="6092190"/>
            <wp:effectExtent l="19050" t="0" r="0" b="0"/>
            <wp:docPr id="64" name="Imagen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0" cstate="print"/>
                    <a:srcRect/>
                    <a:stretch>
                      <a:fillRect/>
                    </a:stretch>
                  </pic:blipFill>
                  <pic:spPr bwMode="auto">
                    <a:xfrm>
                      <a:off x="0" y="0"/>
                      <a:ext cx="5337810" cy="6092190"/>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r w:rsidRPr="002B7E4F">
        <w:rPr>
          <w:rFonts w:ascii="Arial" w:hAnsi="Arial" w:cs="Arial"/>
          <w:noProof/>
          <w:sz w:val="22"/>
          <w:szCs w:val="22"/>
          <w:lang w:val="es-MX" w:eastAsia="es-MX"/>
        </w:rPr>
        <w:lastRenderedPageBreak/>
        <w:drawing>
          <wp:inline distT="0" distB="0" distL="0" distR="0">
            <wp:extent cx="5932805" cy="5177790"/>
            <wp:effectExtent l="19050" t="0" r="0" b="0"/>
            <wp:docPr id="70" name="Imagen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1" cstate="print"/>
                    <a:srcRect/>
                    <a:stretch>
                      <a:fillRect/>
                    </a:stretch>
                  </pic:blipFill>
                  <pic:spPr bwMode="auto">
                    <a:xfrm>
                      <a:off x="0" y="0"/>
                      <a:ext cx="5932805" cy="5177790"/>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noProof/>
          <w:sz w:val="22"/>
          <w:szCs w:val="22"/>
          <w:lang w:val="es-MX" w:eastAsia="es-MX"/>
        </w:rPr>
        <w:lastRenderedPageBreak/>
        <w:drawing>
          <wp:inline distT="0" distB="0" distL="0" distR="0">
            <wp:extent cx="5932805" cy="5273675"/>
            <wp:effectExtent l="19050" t="0" r="0" b="0"/>
            <wp:docPr id="65" name="Imagen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2" cstate="print"/>
                    <a:srcRect/>
                    <a:stretch>
                      <a:fillRect/>
                    </a:stretch>
                  </pic:blipFill>
                  <pic:spPr bwMode="auto">
                    <a:xfrm>
                      <a:off x="0" y="0"/>
                      <a:ext cx="5932805" cy="5273675"/>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noProof/>
          <w:sz w:val="22"/>
          <w:szCs w:val="22"/>
          <w:lang w:val="es-MX" w:eastAsia="es-MX"/>
        </w:rPr>
        <w:lastRenderedPageBreak/>
        <w:drawing>
          <wp:inline distT="0" distB="0" distL="0" distR="0">
            <wp:extent cx="5401310" cy="6209665"/>
            <wp:effectExtent l="19050" t="0" r="8890" b="0"/>
            <wp:docPr id="66" name="Imagen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3" cstate="print"/>
                    <a:srcRect/>
                    <a:stretch>
                      <a:fillRect/>
                    </a:stretch>
                  </pic:blipFill>
                  <pic:spPr bwMode="auto">
                    <a:xfrm>
                      <a:off x="0" y="0"/>
                      <a:ext cx="5401310" cy="6209665"/>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noProof/>
          <w:sz w:val="22"/>
          <w:szCs w:val="22"/>
          <w:lang w:val="es-MX" w:eastAsia="es-MX"/>
        </w:rPr>
        <w:lastRenderedPageBreak/>
        <w:drawing>
          <wp:inline distT="0" distB="0" distL="0" distR="0">
            <wp:extent cx="5603240" cy="6911340"/>
            <wp:effectExtent l="19050" t="0" r="0" b="0"/>
            <wp:docPr id="73" name="Imagen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srcRect/>
                    <a:stretch>
                      <a:fillRect/>
                    </a:stretch>
                  </pic:blipFill>
                  <pic:spPr bwMode="auto">
                    <a:xfrm>
                      <a:off x="0" y="0"/>
                      <a:ext cx="5603240" cy="6911340"/>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r w:rsidRPr="002B7E4F">
        <w:rPr>
          <w:rFonts w:ascii="Arial" w:hAnsi="Arial" w:cs="Arial"/>
          <w:noProof/>
          <w:sz w:val="22"/>
          <w:szCs w:val="22"/>
          <w:lang w:val="es-MX" w:eastAsia="es-MX"/>
        </w:rPr>
        <w:lastRenderedPageBreak/>
        <w:drawing>
          <wp:inline distT="0" distB="0" distL="0" distR="0">
            <wp:extent cx="5943600" cy="6624320"/>
            <wp:effectExtent l="19050" t="0" r="0" b="0"/>
            <wp:docPr id="74" name="Imagen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5" cstate="print"/>
                    <a:srcRect/>
                    <a:stretch>
                      <a:fillRect/>
                    </a:stretch>
                  </pic:blipFill>
                  <pic:spPr bwMode="auto">
                    <a:xfrm>
                      <a:off x="0" y="0"/>
                      <a:ext cx="5943600" cy="6624320"/>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r w:rsidRPr="002B7E4F">
        <w:rPr>
          <w:rFonts w:ascii="Arial" w:hAnsi="Arial" w:cs="Arial"/>
          <w:sz w:val="22"/>
          <w:szCs w:val="22"/>
        </w:rPr>
        <w:t>Cualquier material diferente a seleccionar deberá ser homologado bajo las características técnicas a las contempladas en el proyecto ejecutivo y en base a lo indicado en esta especificación técnica. La homologación contemplará las características de calidad, funcionalidad y  elementos técnicos</w:t>
      </w:r>
    </w:p>
    <w:p w:rsidR="002B7E4F" w:rsidRPr="002B7E4F" w:rsidRDefault="002B7E4F" w:rsidP="002B7E4F">
      <w:pPr>
        <w:jc w:val="both"/>
        <w:rPr>
          <w:rFonts w:ascii="Arial" w:hAnsi="Arial" w:cs="Arial"/>
          <w:sz w:val="22"/>
          <w:szCs w:val="22"/>
        </w:rPr>
      </w:pPr>
    </w:p>
    <w:p w:rsidR="002B7E4F" w:rsidRPr="002B7E4F" w:rsidRDefault="002B7E4F" w:rsidP="002B7E4F">
      <w:pPr>
        <w:widowControl w:val="0"/>
        <w:overflowPunct w:val="0"/>
        <w:autoSpaceDE w:val="0"/>
        <w:autoSpaceDN w:val="0"/>
        <w:adjustRightInd w:val="0"/>
        <w:ind w:right="627"/>
        <w:jc w:val="both"/>
        <w:textAlignment w:val="baseline"/>
        <w:rPr>
          <w:rStyle w:val="CarCar92"/>
          <w:rFonts w:ascii="Arial" w:hAnsi="Arial" w:cs="Arial"/>
          <w:sz w:val="22"/>
          <w:szCs w:val="22"/>
        </w:rPr>
      </w:pPr>
    </w:p>
    <w:p w:rsidR="002B7E4F" w:rsidRPr="002B7E4F" w:rsidRDefault="002B7E4F" w:rsidP="00462F48">
      <w:pPr>
        <w:pStyle w:val="TITULO-3"/>
        <w:numPr>
          <w:ilvl w:val="2"/>
          <w:numId w:val="32"/>
        </w:numPr>
        <w:tabs>
          <w:tab w:val="clear" w:pos="1440"/>
          <w:tab w:val="num" w:pos="851"/>
        </w:tabs>
        <w:ind w:left="851" w:hanging="851"/>
        <w:rPr>
          <w:rFonts w:ascii="Arial" w:hAnsi="Arial" w:cs="Arial"/>
          <w:b/>
          <w:sz w:val="22"/>
          <w:szCs w:val="22"/>
        </w:rPr>
      </w:pPr>
      <w:bookmarkStart w:id="3" w:name="_Toc368671467"/>
      <w:r w:rsidRPr="002B7E4F">
        <w:rPr>
          <w:rFonts w:ascii="Arial" w:hAnsi="Arial" w:cs="Arial"/>
          <w:b/>
          <w:sz w:val="22"/>
          <w:szCs w:val="22"/>
        </w:rPr>
        <w:t>Ejecución de Obra</w:t>
      </w:r>
      <w:bookmarkEnd w:id="3"/>
    </w:p>
    <w:p w:rsidR="002B7E4F" w:rsidRPr="002B7E4F" w:rsidRDefault="002B7E4F" w:rsidP="00462F48">
      <w:pPr>
        <w:pStyle w:val="TITULO-4"/>
        <w:numPr>
          <w:ilvl w:val="3"/>
          <w:numId w:val="32"/>
        </w:numPr>
        <w:rPr>
          <w:sz w:val="22"/>
          <w:szCs w:val="22"/>
        </w:rPr>
      </w:pPr>
      <w:bookmarkStart w:id="4" w:name="_Toc368671468"/>
      <w:r w:rsidRPr="002B7E4F">
        <w:rPr>
          <w:sz w:val="22"/>
          <w:szCs w:val="22"/>
        </w:rPr>
        <w:t>Trabajos preliminares</w:t>
      </w:r>
      <w:bookmarkEnd w:id="4"/>
    </w:p>
    <w:p w:rsidR="002B7E4F" w:rsidRPr="002B7E4F" w:rsidRDefault="002B7E4F" w:rsidP="002B7E4F">
      <w:pPr>
        <w:jc w:val="both"/>
        <w:rPr>
          <w:rFonts w:ascii="Arial" w:hAnsi="Arial" w:cs="Arial"/>
          <w:sz w:val="22"/>
          <w:szCs w:val="22"/>
        </w:rPr>
      </w:pPr>
      <w:r w:rsidRPr="002B7E4F">
        <w:rPr>
          <w:rFonts w:ascii="Arial" w:hAnsi="Arial" w:cs="Arial"/>
          <w:sz w:val="22"/>
          <w:szCs w:val="22"/>
        </w:rPr>
        <w:t>Estas actividades comprenden todos aquellos trabajos o actuaciones previas que deberán de desarrollarse, antes de ejecutar los trabajos de instalación de la bomba de combustión interna  para el sistema de protección contra incendio de  las estaciones del Corredor Diagonal de Guadalajara.</w:t>
      </w:r>
    </w:p>
    <w:p w:rsidR="002B7E4F" w:rsidRPr="002B7E4F" w:rsidRDefault="002B7E4F" w:rsidP="002B7E4F">
      <w:pPr>
        <w:jc w:val="both"/>
        <w:rPr>
          <w:rFonts w:ascii="Arial" w:hAnsi="Arial" w:cs="Arial"/>
          <w:sz w:val="22"/>
          <w:szCs w:val="22"/>
        </w:rPr>
      </w:pPr>
      <w:r w:rsidRPr="002B7E4F">
        <w:rPr>
          <w:rFonts w:ascii="Arial" w:hAnsi="Arial" w:cs="Arial"/>
          <w:sz w:val="22"/>
          <w:szCs w:val="22"/>
        </w:rPr>
        <w:t>Estos trabajos estarán basados bajo los lineamientos técnicos de las normativas aplicables en la materia tanto municipales, nacionales e internacionales, así como los indicados en esta especificación técnica.</w:t>
      </w:r>
    </w:p>
    <w:p w:rsidR="002B7E4F" w:rsidRPr="002B7E4F" w:rsidRDefault="002B7E4F" w:rsidP="002B7E4F">
      <w:pPr>
        <w:jc w:val="both"/>
        <w:rPr>
          <w:rFonts w:ascii="Arial" w:hAnsi="Arial" w:cs="Arial"/>
          <w:sz w:val="22"/>
          <w:szCs w:val="22"/>
        </w:rPr>
      </w:pPr>
      <w:r w:rsidRPr="002B7E4F">
        <w:rPr>
          <w:rFonts w:ascii="Arial" w:hAnsi="Arial" w:cs="Arial"/>
          <w:sz w:val="22"/>
          <w:szCs w:val="22"/>
        </w:rPr>
        <w:t>Se realizaran reuniones para establecer los procesos y periodos de instalación, con el fin de cumplir en tiempo y forma con el Programa de Obra establecido, también se establecerán los protocolos de las distintas pruebas a realizarse en sitio del sistema, así como los responsables de llevar a cabo y verificar dichas pruebas.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Se supervisara de manera constante la correcta instalación de los equipos de bombeo que conforman el concepto de instalación de instalación de la bomba de combustión </w:t>
      </w:r>
      <w:proofErr w:type="gramStart"/>
      <w:r w:rsidRPr="002B7E4F">
        <w:rPr>
          <w:rFonts w:ascii="Arial" w:hAnsi="Arial" w:cs="Arial"/>
          <w:sz w:val="22"/>
          <w:szCs w:val="22"/>
        </w:rPr>
        <w:t>interna .</w:t>
      </w:r>
      <w:proofErr w:type="gramEnd"/>
      <w:r w:rsidRPr="002B7E4F">
        <w:rPr>
          <w:rFonts w:ascii="Arial" w:hAnsi="Arial" w:cs="Arial"/>
          <w:sz w:val="22"/>
          <w:szCs w:val="22"/>
        </w:rPr>
        <w:t xml:space="preserve"> Se deberá hacer el trazo en primera instancia que permita prever posibles interferencias con las demás especialidades. Así mismo, deberán de colocarse los soportes necesarios que fijarán las tanto las tuberías verticales y  horizontales con las distancias adecuadas según lo indicado en la normatividad correspondiente y considerando también las recomendaciones y prácticas para dicho sistema del fabricante de las mismas.</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32"/>
        </w:numPr>
        <w:rPr>
          <w:sz w:val="22"/>
          <w:szCs w:val="22"/>
        </w:rPr>
      </w:pPr>
      <w:bookmarkStart w:id="5" w:name="_Toc368671469"/>
      <w:r w:rsidRPr="002B7E4F">
        <w:rPr>
          <w:sz w:val="22"/>
          <w:szCs w:val="22"/>
        </w:rPr>
        <w:t>Almacenaje y transporte.</w:t>
      </w:r>
      <w:bookmarkEnd w:id="5"/>
    </w:p>
    <w:p w:rsidR="002B7E4F" w:rsidRPr="002B7E4F" w:rsidRDefault="002B7E4F" w:rsidP="002B7E4F">
      <w:pPr>
        <w:jc w:val="both"/>
        <w:rPr>
          <w:rFonts w:ascii="Arial" w:hAnsi="Arial" w:cs="Arial"/>
          <w:sz w:val="22"/>
          <w:szCs w:val="22"/>
        </w:rPr>
      </w:pPr>
      <w:r w:rsidRPr="002B7E4F">
        <w:rPr>
          <w:rFonts w:ascii="Arial" w:hAnsi="Arial" w:cs="Arial"/>
          <w:sz w:val="22"/>
          <w:szCs w:val="22"/>
        </w:rPr>
        <w:t>El almacenaje se deberá de ejecutar en el sitio más cercano al punto de la obra o de la instalación. El área de almacenaje deberá de estar confinada, techada y cerrada para evitar que el material  entre en contacto con elementos que puedan obstruir o taponar los tubos y/o accesorios.</w:t>
      </w:r>
    </w:p>
    <w:p w:rsidR="002B7E4F" w:rsidRPr="002B7E4F" w:rsidRDefault="002B7E4F" w:rsidP="002B7E4F">
      <w:pPr>
        <w:jc w:val="both"/>
        <w:rPr>
          <w:rFonts w:ascii="Arial" w:hAnsi="Arial" w:cs="Arial"/>
          <w:sz w:val="22"/>
          <w:szCs w:val="22"/>
        </w:rPr>
      </w:pPr>
      <w:r w:rsidRPr="002B7E4F">
        <w:rPr>
          <w:rFonts w:ascii="Arial" w:hAnsi="Arial" w:cs="Arial"/>
          <w:sz w:val="22"/>
          <w:szCs w:val="22"/>
        </w:rPr>
        <w:t>Es necesario que el transporte sea en medios adecuados y en dimensiones tales que permitan la correcta ejecución de cada una de las maniobras de carga y descarga sin dañar los materiales y accesorios.</w:t>
      </w:r>
    </w:p>
    <w:p w:rsidR="002B7E4F" w:rsidRPr="002B7E4F" w:rsidRDefault="002B7E4F" w:rsidP="002B7E4F">
      <w:pPr>
        <w:jc w:val="both"/>
        <w:rPr>
          <w:rFonts w:ascii="Arial" w:hAnsi="Arial" w:cs="Arial"/>
          <w:sz w:val="22"/>
          <w:szCs w:val="22"/>
        </w:rPr>
      </w:pPr>
      <w:r w:rsidRPr="002B7E4F">
        <w:rPr>
          <w:rFonts w:ascii="Arial" w:hAnsi="Arial" w:cs="Arial"/>
          <w:sz w:val="22"/>
          <w:szCs w:val="22"/>
        </w:rPr>
        <w:t>Se supervisarán los puntos de almacenaje y que las condiciones sean óptimas para el almacenaje de los materiales y que no sufra ninguna avería hasta su puesta en servicio.</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32"/>
        </w:numPr>
        <w:rPr>
          <w:sz w:val="22"/>
          <w:szCs w:val="22"/>
        </w:rPr>
      </w:pPr>
      <w:bookmarkStart w:id="6" w:name="_Toc368671470"/>
      <w:r w:rsidRPr="002B7E4F">
        <w:rPr>
          <w:sz w:val="22"/>
          <w:szCs w:val="22"/>
        </w:rPr>
        <w:t>Instalación</w:t>
      </w:r>
      <w:bookmarkEnd w:id="6"/>
    </w:p>
    <w:p w:rsidR="002B7E4F" w:rsidRPr="002B7E4F" w:rsidRDefault="002B7E4F" w:rsidP="002B7E4F">
      <w:pPr>
        <w:jc w:val="both"/>
        <w:rPr>
          <w:rFonts w:ascii="Arial" w:hAnsi="Arial" w:cs="Arial"/>
          <w:sz w:val="22"/>
          <w:szCs w:val="22"/>
        </w:rPr>
      </w:pPr>
      <w:r w:rsidRPr="002B7E4F">
        <w:rPr>
          <w:rFonts w:ascii="Arial" w:hAnsi="Arial" w:cs="Arial"/>
          <w:sz w:val="22"/>
          <w:szCs w:val="22"/>
        </w:rPr>
        <w:t>La instalación del equipo contemplará la colocación de los sistemas de fijación, soportes adecuados y según lo indique el proyecto ejecutivo.</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La instalación la de instalación de la bomba de combustión interna  deberá ejecutarse antes del colado de las losas y sobretodo del armado de los pisos estructurales. Esta previsión evitará que se tengan que romper los pisos o elementos estructurales y con ello </w:t>
      </w:r>
      <w:r w:rsidRPr="002B7E4F">
        <w:rPr>
          <w:rFonts w:ascii="Arial" w:hAnsi="Arial" w:cs="Arial"/>
          <w:sz w:val="22"/>
          <w:szCs w:val="22"/>
        </w:rPr>
        <w:lastRenderedPageBreak/>
        <w:t xml:space="preserve">su posible debilitamiento. La preparación de las salidas de instalación de la bomba de combustión interna  también contempla la previsión de los </w:t>
      </w:r>
      <w:proofErr w:type="spellStart"/>
      <w:r w:rsidRPr="002B7E4F">
        <w:rPr>
          <w:rFonts w:ascii="Arial" w:hAnsi="Arial" w:cs="Arial"/>
          <w:sz w:val="22"/>
          <w:szCs w:val="22"/>
        </w:rPr>
        <w:t>pasatubos</w:t>
      </w:r>
      <w:proofErr w:type="spellEnd"/>
      <w:r w:rsidRPr="002B7E4F">
        <w:rPr>
          <w:rFonts w:ascii="Arial" w:hAnsi="Arial" w:cs="Arial"/>
          <w:sz w:val="22"/>
          <w:szCs w:val="22"/>
        </w:rPr>
        <w:t>, en todas las posiciones verticales y horizontales necesarias.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Es responsabilidad del contratista de instalación de la de instalación de la bomba de combustión interna  la colocación de los </w:t>
      </w:r>
      <w:proofErr w:type="spellStart"/>
      <w:r w:rsidRPr="002B7E4F">
        <w:rPr>
          <w:rFonts w:ascii="Arial" w:hAnsi="Arial" w:cs="Arial"/>
          <w:sz w:val="22"/>
          <w:szCs w:val="22"/>
        </w:rPr>
        <w:t>pasatubos</w:t>
      </w:r>
      <w:proofErr w:type="spellEnd"/>
      <w:r w:rsidRPr="002B7E4F">
        <w:rPr>
          <w:rFonts w:ascii="Arial" w:hAnsi="Arial" w:cs="Arial"/>
          <w:sz w:val="22"/>
          <w:szCs w:val="22"/>
        </w:rPr>
        <w:t xml:space="preserve"> necesarios en las diferentes losas o elementos estructurales.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Así mismo, se deberán de contemplar las conexiones necesarias de acuerdo a lo que indique el proyecto ejecutivo y bajo los lineamientos normativos correspondientes.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Aunado a todo ello, se establecerán los procedimientos para la atención de detalles y averías durante el proceso de montaje y pruebas y durante el periodo de garantía.</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El contratista de la obra responsable de dichos trabajos tendrá a su cargo todos los materiales y accesorios de instalación que los equipos requieran. </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materiales se almacenarán de tal modo que se asegure la conservación de sus características y aptitudes para su empleo en la obra y de forma que se facilite su inspección. La compañía a cargo de la operación y/o la Entidad Inspectora podrán ordenar, si lo consideran necesario, el uso de plataformas adecuadas, cobertizos o edificios para la protección de aquellos materiales que se requiera. </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Lo mencionado en el presente Documento y omitido en los planos, o viceversa, habrá de ser ejecutado como si estuviese desarrollo en ambos documentos. En caso de contradicción entre los planos y el Proyecto Ejecutivo, prevalecerá lo prescrito en este último.</w:t>
      </w:r>
    </w:p>
    <w:p w:rsidR="002B7E4F" w:rsidRPr="002B7E4F" w:rsidRDefault="002B7E4F" w:rsidP="002B7E4F">
      <w:pPr>
        <w:jc w:val="both"/>
        <w:rPr>
          <w:rFonts w:ascii="Arial" w:hAnsi="Arial" w:cs="Arial"/>
          <w:sz w:val="22"/>
          <w:szCs w:val="22"/>
        </w:rPr>
      </w:pPr>
      <w:r w:rsidRPr="002B7E4F">
        <w:rPr>
          <w:rFonts w:ascii="Arial" w:hAnsi="Arial" w:cs="Arial"/>
          <w:sz w:val="22"/>
          <w:szCs w:val="22"/>
        </w:rPr>
        <w:t>El instalador de las salidas estará obligado a poner cuanto antes en conocimiento del Ingeniero Director de las obras, cualquier discrepancia que observe entre los distintos planos del Proyecto o cualquier otra circunstancia surgida durante la ejecución de los trabajos, que diese lugar a posibles modificaciones del Proyecto.</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Como consecuencia de la información recibida del instalador de las instalación de la de instalación de la bomba de combustión </w:t>
      </w:r>
      <w:proofErr w:type="gramStart"/>
      <w:r w:rsidRPr="002B7E4F">
        <w:rPr>
          <w:rFonts w:ascii="Arial" w:hAnsi="Arial" w:cs="Arial"/>
          <w:sz w:val="22"/>
          <w:szCs w:val="22"/>
        </w:rPr>
        <w:t>interna  ,</w:t>
      </w:r>
      <w:proofErr w:type="gramEnd"/>
      <w:r w:rsidRPr="002B7E4F">
        <w:rPr>
          <w:rFonts w:ascii="Arial" w:hAnsi="Arial" w:cs="Arial"/>
          <w:sz w:val="22"/>
          <w:szCs w:val="22"/>
        </w:rPr>
        <w:t xml:space="preserve"> o por propia iniciativa a la vista de las necesidades de la obra, el Director de la misma podrá ordenar y proponer las modificaciones que considere necesarias de acuerdo con el presente Documento y la Legislación vigente sobre la materia.</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32"/>
        </w:numPr>
        <w:tabs>
          <w:tab w:val="clear" w:pos="1440"/>
          <w:tab w:val="num" w:pos="851"/>
        </w:tabs>
        <w:ind w:left="851" w:hanging="851"/>
        <w:rPr>
          <w:rFonts w:ascii="Arial" w:hAnsi="Arial" w:cs="Arial"/>
          <w:b/>
          <w:sz w:val="22"/>
          <w:szCs w:val="22"/>
        </w:rPr>
      </w:pPr>
      <w:bookmarkStart w:id="7" w:name="_Toc368671471"/>
      <w:r w:rsidRPr="002B7E4F">
        <w:rPr>
          <w:rFonts w:ascii="Arial" w:hAnsi="Arial" w:cs="Arial"/>
          <w:b/>
          <w:sz w:val="22"/>
          <w:szCs w:val="22"/>
        </w:rPr>
        <w:t>Medición</w:t>
      </w:r>
      <w:bookmarkEnd w:id="7"/>
    </w:p>
    <w:p w:rsidR="002B7E4F" w:rsidRPr="002B7E4F" w:rsidRDefault="002B7E4F" w:rsidP="002B7E4F">
      <w:pPr>
        <w:jc w:val="both"/>
        <w:rPr>
          <w:rFonts w:ascii="Arial" w:hAnsi="Arial" w:cs="Arial"/>
          <w:sz w:val="22"/>
          <w:szCs w:val="22"/>
        </w:rPr>
      </w:pPr>
      <w:r w:rsidRPr="002B7E4F">
        <w:rPr>
          <w:rFonts w:ascii="Arial" w:hAnsi="Arial" w:cs="Arial"/>
          <w:sz w:val="22"/>
          <w:szCs w:val="22"/>
        </w:rPr>
        <w:t>Las instalación de la de instalación de la bomba de combustión interna  se medirán por unidad de  salida y contemplará el conjunto de accesorios, tuberías, elementos de conexión, materiales de fijación, trazos, nivelaciones, pruebas que en su conjunto coadyuven al correcto funcionamiento de la instalación de la bomba eléctrica  .</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Una salida corresponderá a todos los elementos, accesorios, tuberías de diversos diámetros así como codos, </w:t>
      </w:r>
      <w:proofErr w:type="spellStart"/>
      <w:r w:rsidRPr="002B7E4F">
        <w:rPr>
          <w:rFonts w:ascii="Arial" w:hAnsi="Arial" w:cs="Arial"/>
          <w:sz w:val="22"/>
          <w:szCs w:val="22"/>
        </w:rPr>
        <w:t>tees</w:t>
      </w:r>
      <w:proofErr w:type="spellEnd"/>
      <w:r w:rsidRPr="002B7E4F">
        <w:rPr>
          <w:rFonts w:ascii="Arial" w:hAnsi="Arial" w:cs="Arial"/>
          <w:sz w:val="22"/>
          <w:szCs w:val="22"/>
        </w:rPr>
        <w:t xml:space="preserve">, </w:t>
      </w:r>
      <w:proofErr w:type="spellStart"/>
      <w:r w:rsidRPr="002B7E4F">
        <w:rPr>
          <w:rFonts w:ascii="Arial" w:hAnsi="Arial" w:cs="Arial"/>
          <w:sz w:val="22"/>
          <w:szCs w:val="22"/>
        </w:rPr>
        <w:t>yees</w:t>
      </w:r>
      <w:proofErr w:type="spellEnd"/>
      <w:r w:rsidRPr="002B7E4F">
        <w:rPr>
          <w:rFonts w:ascii="Arial" w:hAnsi="Arial" w:cs="Arial"/>
          <w:sz w:val="22"/>
          <w:szCs w:val="22"/>
        </w:rPr>
        <w:t xml:space="preserve">, </w:t>
      </w:r>
      <w:proofErr w:type="spellStart"/>
      <w:r w:rsidRPr="002B7E4F">
        <w:rPr>
          <w:rFonts w:ascii="Arial" w:hAnsi="Arial" w:cs="Arial"/>
          <w:sz w:val="22"/>
          <w:szCs w:val="22"/>
        </w:rPr>
        <w:t>coples</w:t>
      </w:r>
      <w:proofErr w:type="spellEnd"/>
      <w:r w:rsidRPr="002B7E4F">
        <w:rPr>
          <w:rFonts w:ascii="Arial" w:hAnsi="Arial" w:cs="Arial"/>
          <w:sz w:val="22"/>
          <w:szCs w:val="22"/>
        </w:rPr>
        <w:t xml:space="preserve">, </w:t>
      </w:r>
      <w:proofErr w:type="spellStart"/>
      <w:r w:rsidRPr="002B7E4F">
        <w:rPr>
          <w:rFonts w:ascii="Arial" w:hAnsi="Arial" w:cs="Arial"/>
          <w:sz w:val="22"/>
          <w:szCs w:val="22"/>
        </w:rPr>
        <w:t>soportería</w:t>
      </w:r>
      <w:proofErr w:type="spellEnd"/>
      <w:r w:rsidRPr="002B7E4F">
        <w:rPr>
          <w:rFonts w:ascii="Arial" w:hAnsi="Arial" w:cs="Arial"/>
          <w:sz w:val="22"/>
          <w:szCs w:val="22"/>
        </w:rPr>
        <w:t xml:space="preserve"> adecuada para las tuberías, tramo de tubería de 4” de diámetro y de 3” para ramales secundarios y tubos de ventila y toda la conexión requerida  hasta el ramal principal.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32"/>
        </w:numPr>
        <w:tabs>
          <w:tab w:val="clear" w:pos="1440"/>
          <w:tab w:val="num" w:pos="851"/>
        </w:tabs>
        <w:ind w:left="851" w:hanging="851"/>
        <w:rPr>
          <w:rFonts w:ascii="Arial" w:hAnsi="Arial" w:cs="Arial"/>
          <w:b/>
          <w:sz w:val="22"/>
          <w:szCs w:val="22"/>
        </w:rPr>
      </w:pPr>
      <w:bookmarkStart w:id="8" w:name="_Toc368671472"/>
      <w:r w:rsidRPr="002B7E4F">
        <w:rPr>
          <w:rFonts w:ascii="Arial" w:hAnsi="Arial" w:cs="Arial"/>
          <w:b/>
          <w:sz w:val="22"/>
          <w:szCs w:val="22"/>
        </w:rPr>
        <w:t>Pruebas y Ensayo</w:t>
      </w:r>
      <w:bookmarkEnd w:id="8"/>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pruebas y ensayos se realizarán según el protocolo de pruebas propuesto por el instalador y aprobado por la DO y bajo los lineamientos que marquen las normativas vigentes y aplicables. </w:t>
      </w:r>
    </w:p>
    <w:p w:rsidR="002B7E4F" w:rsidRPr="002B7E4F" w:rsidRDefault="002B7E4F" w:rsidP="002B7E4F">
      <w:pPr>
        <w:tabs>
          <w:tab w:val="left" w:pos="426"/>
        </w:tabs>
        <w:jc w:val="both"/>
        <w:rPr>
          <w:rFonts w:ascii="Arial" w:hAnsi="Arial" w:cs="Arial"/>
          <w:color w:val="FF0000"/>
          <w:sz w:val="22"/>
          <w:szCs w:val="22"/>
        </w:rPr>
      </w:pPr>
      <w:r w:rsidRPr="002B7E4F">
        <w:rPr>
          <w:rFonts w:ascii="Arial" w:hAnsi="Arial" w:cs="Arial"/>
          <w:sz w:val="22"/>
          <w:szCs w:val="22"/>
        </w:rPr>
        <w:t>Se harán las pruebas de hermeticidad, con el equipo conectado a los diversos arreglos de tuberías planteados en el proyecto ejecutivo. Dichas pruebas deberán de garantizar la hermeticidad del sistema, y el correcto funcionamiento de cada uno de los dispositivos y accesorios que conforman el sistema de instalación de la de instalación de la bomba de combustión interna.</w:t>
      </w:r>
      <w:r w:rsidRPr="002B7E4F">
        <w:rPr>
          <w:rFonts w:ascii="Arial" w:hAnsi="Arial" w:cs="Arial"/>
          <w:color w:val="FF0000"/>
          <w:sz w:val="22"/>
          <w:szCs w:val="22"/>
        </w:rPr>
        <w:t xml:space="preserve"> </w:t>
      </w: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siguientes pruebas deberán de considerarse como mínimos para el presente concepto y está bajo </w:t>
      </w:r>
      <w:proofErr w:type="gramStart"/>
      <w:r w:rsidRPr="002B7E4F">
        <w:rPr>
          <w:rFonts w:ascii="Arial" w:hAnsi="Arial" w:cs="Arial"/>
          <w:sz w:val="22"/>
          <w:szCs w:val="22"/>
        </w:rPr>
        <w:t>los indicado</w:t>
      </w:r>
      <w:proofErr w:type="gramEnd"/>
      <w:r w:rsidRPr="002B7E4F">
        <w:rPr>
          <w:rFonts w:ascii="Arial" w:hAnsi="Arial" w:cs="Arial"/>
          <w:sz w:val="22"/>
          <w:szCs w:val="22"/>
        </w:rPr>
        <w:t xml:space="preserve"> en la normativa aplicable:</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Prueba de hermeticidad de todas las conexiones.</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Todas la pruebas deberán basarse conforme a lo indicado en la reglamentación local y de acuerdo a las Normas Técnicas Complementarias para Diseño y Ejecución de Obras e Instalaciones Hidráulicas</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También se aplican las normas de Ingeniería del Instituto Mexicano del Seguro Social.</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 xml:space="preserve">Pruebas de paro y arranque, </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Prueba de aislamiento y de rotor bloqueado.</w:t>
      </w:r>
    </w:p>
    <w:p w:rsidR="002B7E4F" w:rsidRPr="002B7E4F" w:rsidRDefault="002B7E4F" w:rsidP="002B7E4F">
      <w:pPr>
        <w:tabs>
          <w:tab w:val="left" w:pos="426"/>
        </w:tabs>
        <w:ind w:left="720"/>
        <w:jc w:val="both"/>
        <w:rPr>
          <w:rFonts w:ascii="Arial" w:hAnsi="Arial" w:cs="Arial"/>
          <w:color w:val="FF0000"/>
          <w:sz w:val="22"/>
          <w:szCs w:val="22"/>
        </w:rPr>
      </w:pPr>
    </w:p>
    <w:p w:rsidR="002B7E4F" w:rsidRPr="002B7E4F" w:rsidRDefault="002B7E4F" w:rsidP="00462F48">
      <w:pPr>
        <w:pStyle w:val="TITULO-4"/>
        <w:numPr>
          <w:ilvl w:val="3"/>
          <w:numId w:val="32"/>
        </w:numPr>
        <w:rPr>
          <w:sz w:val="22"/>
          <w:szCs w:val="22"/>
        </w:rPr>
      </w:pPr>
      <w:bookmarkStart w:id="9" w:name="_Toc368671473"/>
      <w:r w:rsidRPr="002B7E4F">
        <w:rPr>
          <w:sz w:val="22"/>
          <w:szCs w:val="22"/>
        </w:rPr>
        <w:t>Garantías de calidad</w:t>
      </w:r>
      <w:bookmarkEnd w:id="9"/>
      <w:r w:rsidRPr="002B7E4F">
        <w:rPr>
          <w:sz w:val="22"/>
          <w:szCs w:val="22"/>
        </w:rPr>
        <w:t xml:space="preserve"> </w:t>
      </w:r>
    </w:p>
    <w:p w:rsidR="002B7E4F" w:rsidRPr="002B7E4F" w:rsidRDefault="002B7E4F" w:rsidP="002B7E4F">
      <w:pPr>
        <w:jc w:val="both"/>
        <w:rPr>
          <w:rFonts w:ascii="Arial" w:hAnsi="Arial" w:cs="Arial"/>
          <w:sz w:val="22"/>
          <w:szCs w:val="22"/>
        </w:rPr>
      </w:pPr>
      <w:r w:rsidRPr="002B7E4F">
        <w:rPr>
          <w:rFonts w:ascii="Arial" w:hAnsi="Arial" w:cs="Arial"/>
          <w:sz w:val="22"/>
          <w:szCs w:val="22"/>
        </w:rPr>
        <w:t>El  proveedor  debe  corresponder  a  una  firma  experimentada  en  la fabricación de este tipo de equipos (5 años de experiencia  como  mínimo).  Esta  experiencia  deberá  ser  acreditada  mediante cartas de certificación de clientes adquirientes de estos equipos, preferentemente, de empresas relacionadas con el Transporte masivo de personas.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El contratista responsable de dichos trabajos, tendrá absoluta responsabilidad de la ejecución de los trabajos y de su resultado final, al ser instalados los equipos en campo.</w:t>
      </w:r>
    </w:p>
    <w:p w:rsidR="002B7E4F" w:rsidRPr="002B7E4F" w:rsidRDefault="002B7E4F" w:rsidP="002B7E4F">
      <w:pPr>
        <w:jc w:val="both"/>
        <w:rPr>
          <w:rFonts w:ascii="Arial" w:hAnsi="Arial" w:cs="Arial"/>
          <w:sz w:val="22"/>
          <w:szCs w:val="22"/>
        </w:rPr>
      </w:pPr>
      <w:r w:rsidRPr="002B7E4F">
        <w:rPr>
          <w:rFonts w:ascii="Arial" w:hAnsi="Arial" w:cs="Arial"/>
          <w:sz w:val="22"/>
          <w:szCs w:val="22"/>
        </w:rPr>
        <w:t>Cualquier defecto, error o insuficiencia en el diseño, fabricación, material y/o de vicios ocultos en el equipo, materiales y/o mano de obra, deberán ser corregidos por el proveedor, efectuando el propio suministrador o contratista de dichos equipos, el cambio o sustitución de componentes defectuosos sin cargo alguno para la dependencia a cargo de los trabajos.</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32"/>
        </w:numPr>
        <w:rPr>
          <w:sz w:val="22"/>
          <w:szCs w:val="22"/>
        </w:rPr>
      </w:pPr>
      <w:bookmarkStart w:id="10" w:name="_Toc368671474"/>
      <w:r w:rsidRPr="002B7E4F">
        <w:rPr>
          <w:sz w:val="22"/>
          <w:szCs w:val="22"/>
        </w:rPr>
        <w:t>Garantías técnicas</w:t>
      </w:r>
      <w:bookmarkEnd w:id="10"/>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El contratista instalador del sistema de instalación de la bomba de combustión interna  deberá presentar un documento escrito, aceptando reemplazar materiales  defectuosos  y  </w:t>
      </w:r>
      <w:r w:rsidRPr="002B7E4F">
        <w:rPr>
          <w:rFonts w:ascii="Arial" w:hAnsi="Arial" w:cs="Arial"/>
          <w:sz w:val="22"/>
          <w:szCs w:val="22"/>
        </w:rPr>
        <w:lastRenderedPageBreak/>
        <w:t>aportar  mano  de  obra,  durante  todo  el  periodo  de garantía y sin costo, el citado documento deberá de indicar explícitamente al menos incluirá la siguiente cobertura:</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Reemplazo de materiales defectuosos y suministro de mano de obra cuando se presenten  fallas  operacionales,  funcionamiento por debajo de los mínimos requeridos, deterioro excesivo, evidencia de que el sistema no será razonablemente </w:t>
      </w:r>
      <w:proofErr w:type="spellStart"/>
      <w:r w:rsidRPr="002B7E4F">
        <w:rPr>
          <w:rFonts w:ascii="Arial" w:hAnsi="Arial" w:cs="Arial"/>
          <w:sz w:val="22"/>
          <w:szCs w:val="22"/>
        </w:rPr>
        <w:t>mantenible</w:t>
      </w:r>
      <w:proofErr w:type="spellEnd"/>
      <w:r w:rsidRPr="002B7E4F">
        <w:rPr>
          <w:rFonts w:ascii="Arial" w:hAnsi="Arial" w:cs="Arial"/>
          <w:sz w:val="22"/>
          <w:szCs w:val="22"/>
        </w:rPr>
        <w:t xml:space="preserve"> durante la vida útil del resto de las instalaciones, o por desgaste  anormal  considerando  la  intensidad  del  uso,  condiciones  inseguras, ruido  o  vibración  excesivos  y  otras  condiciones  similarmente  insatisfactorias, inusuales o inesperadas.</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32"/>
        </w:numPr>
        <w:tabs>
          <w:tab w:val="clear" w:pos="1440"/>
          <w:tab w:val="num" w:pos="851"/>
        </w:tabs>
        <w:ind w:left="851" w:hanging="851"/>
        <w:rPr>
          <w:rFonts w:ascii="Arial" w:hAnsi="Arial" w:cs="Arial"/>
          <w:b/>
          <w:sz w:val="22"/>
          <w:szCs w:val="22"/>
        </w:rPr>
      </w:pPr>
      <w:bookmarkStart w:id="11" w:name="_Toc368671475"/>
      <w:r w:rsidRPr="002B7E4F">
        <w:rPr>
          <w:rFonts w:ascii="Arial" w:hAnsi="Arial" w:cs="Arial"/>
          <w:b/>
          <w:sz w:val="22"/>
          <w:szCs w:val="22"/>
        </w:rPr>
        <w:t>Base de Pago</w:t>
      </w:r>
      <w:bookmarkEnd w:id="11"/>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pago por unidad de obra terminada se hará al precio unitario fijado en el contrato, entendiéndose que las obras correspondientes a los conceptos allí desarrollados, están completamente terminados y ejecutados conforme a las condiciones que indica el proyecto ejecutivo y de acuerdo con las mediciones realizadas en obra con las condiciones también fijadas al efecto.</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precios incluyen el suministro, transporte a obra, fijación, materiales, desperdicios, mano de obra, herramienta, almacenamiento, limpieza y retiro de material fuera de la obra, pruebas, puesta en marcha y en general todos aquellos trabajos no indicados que sean necesarios para la correcta ejecución y terminación de esta unidad de obra. Los precios serán invariables </w:t>
      </w:r>
      <w:proofErr w:type="spellStart"/>
      <w:r w:rsidRPr="002B7E4F">
        <w:rPr>
          <w:rFonts w:ascii="Arial" w:hAnsi="Arial" w:cs="Arial"/>
          <w:sz w:val="22"/>
          <w:szCs w:val="22"/>
        </w:rPr>
        <w:t>cualesquiera</w:t>
      </w:r>
      <w:proofErr w:type="spellEnd"/>
      <w:r w:rsidRPr="002B7E4F">
        <w:rPr>
          <w:rFonts w:ascii="Arial" w:hAnsi="Arial" w:cs="Arial"/>
          <w:sz w:val="22"/>
          <w:szCs w:val="22"/>
        </w:rPr>
        <w:t xml:space="preserve"> sea la procedencia de los materiales y la distancia de transporte.</w:t>
      </w:r>
    </w:p>
    <w:p w:rsidR="002B7E4F" w:rsidRPr="002B7E4F" w:rsidRDefault="002B7E4F" w:rsidP="002B7E4F">
      <w:pPr>
        <w:jc w:val="both"/>
        <w:rPr>
          <w:rFonts w:ascii="Arial" w:hAnsi="Arial" w:cs="Arial"/>
          <w:b/>
          <w:sz w:val="22"/>
          <w:szCs w:val="22"/>
        </w:rPr>
      </w:pPr>
    </w:p>
    <w:sectPr w:rsidR="002B7E4F" w:rsidRPr="002B7E4F" w:rsidSect="00990E1E">
      <w:headerReference w:type="default" r:id="rId16"/>
      <w:footerReference w:type="even" r:id="rId17"/>
      <w:footerReference w:type="default" r:id="rId18"/>
      <w:footerReference w:type="first" r:id="rId19"/>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D5684F">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1985"/>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2370"/>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2F9D"/>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4256"/>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71D"/>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06F0"/>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84F"/>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EF7A42"/>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rules v:ext="edit">
        <o:r id="V:Rule5" type="connector" idref="#Conector recto de flecha 41"/>
        <o:r id="V:Rule6" type="connector" idref="#Conector recto de flecha 46"/>
        <o:r id="V:Rule7" type="connector" idref="#Conector recto de flecha 47"/>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B4CA70-0579-434D-AC1B-32C1BC21B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1847</Words>
  <Characters>10160</Characters>
  <Application>Microsoft Office Word</Application>
  <DocSecurity>0</DocSecurity>
  <Lines>84</Lines>
  <Paragraphs>23</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11984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2</cp:revision>
  <cp:lastPrinted>2014-02-10T15:57:00Z</cp:lastPrinted>
  <dcterms:created xsi:type="dcterms:W3CDTF">2014-04-10T22:26:00Z</dcterms:created>
  <dcterms:modified xsi:type="dcterms:W3CDTF">2014-04-10T22:26:00Z</dcterms:modified>
</cp:coreProperties>
</file>